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tbl>
      <w:tblPr>
        <w:tblW w:w="926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3851"/>
        <w:gridCol w:w="5408"/>
      </w:tblGrid>
      <w:tr>
        <w:trPr/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akademicki: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2020/2021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Kierunek: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Optyka okularowa</w:t>
            </w:r>
          </w:p>
        </w:tc>
      </w:tr>
      <w:tr>
        <w:trPr/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zatwierdzenia przez RD: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Student: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6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9260"/>
      </w:tblGrid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Rodzaj pracy dyplomowej: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Hasło: </w:t>
            </w:r>
            <w:r>
              <w:rPr>
                <w:rFonts w:ascii="Times New Roman" w:hAnsi="Times New Roman"/>
                <w:sz w:val="24"/>
                <w:szCs w:val="24"/>
              </w:rPr>
              <w:t>optyka okularowa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Promotor: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 Mateusz Paczwa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Recenzent: 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Tytuł (w j. polskim):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Korekcja okularowa z ochroną przed nadmierną ekspozycją na światło nadfioletowe 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Tytuł (w j. angielskim):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Spectacle </w:t>
            </w:r>
            <w:r>
              <w:rPr>
                <w:rFonts w:ascii="Times New Roman" w:hAnsi="Times New Roman"/>
                <w:sz w:val="24"/>
                <w:szCs w:val="24"/>
              </w:rPr>
              <w:t>correction with protection against excessive exposure to ultraviolet light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Zakładana wymagana znajomość zagadnień: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dotyczących wad wzroku i metod ich korekcji;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dotyczących charakterystyk fizycznych soczewek okularowych;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dotyczących wpływu czynników szkodliwych na narząd wzroku;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montażu soczewek w oprawie okularowej.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Orientacyjny spis treści lub orientacyjny wykaz zagadnień, które będą przedstawiane w pracy: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Autospacing="1" w:after="0"/>
              <w:ind w:left="1429" w:hanging="357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Streszczenie w języku polskim i angielskim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Cel pracy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Wprowadzenie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własności fizyczne światła ultrafioletowego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szkodliwe działanie światła ultrafioletowego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Szkła fotochromowe jako ochrona przed światłem UV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zjawisko fotochromizmu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mechanizm działania szkieł fotochrmowych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Opis diagnostyki układu wzrokowego oraz parametrów soczewek i oprawy okularowej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Wykonanie korekcji okularowej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Opis wykonania pomocy wzrokowej wraz załączeniem materiałów dokumentujących wykonaną pomoc wzrokową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Wskazówki dla pacjenta dotyczące korzystania z pomocy wzrokowej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Autospacing="1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Podsumowanie i wnioski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Spodziewane wyniki (rezultaty):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Wykonanie pomocy wzrokowej zgodnej z receptą okularową z soczewkami sferycznymi fotochromowymi.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Podstawowa literatura: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Zając, Optyka okularowa, Dolnośląskie Wydawnictwo Edukacyjne, Wrocław 2007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 Styszyński, Korekcja wad wzroku – procedury refrakcji, a-medica press, 2007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 Styszyński, J.Styszyński, Korekcja wad wzroku dla optyków okularowych, 2018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Briot „Alta XL instrukcja obsługi”, version 7195251 Pont de L'Arche, Francja 2010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Briot „Accura CL instrukcja obsługi”, version 2004 Pont de L'Arche, Francja 2004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sz w:val="24"/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9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color w:val="00000A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color w:val="00000A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b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sz w:val="24"/>
    </w:rPr>
  </w:style>
  <w:style w:type="character" w:styleId="ListLabel21">
    <w:name w:val="ListLabel 21"/>
    <w:qFormat/>
    <w:rPr>
      <w:rFonts w:ascii="Times New Roman" w:hAnsi="Times New Roman" w:cs="Times New Roman"/>
      <w:sz w:val="24"/>
    </w:rPr>
  </w:style>
  <w:style w:type="character" w:styleId="ListLabel22">
    <w:name w:val="ListLabel 22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6d71dc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6d71dc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6d71dc"/>
    <w:pPr>
      <w:suppressLineNumbers/>
    </w:pPr>
    <w:rPr/>
  </w:style>
  <w:style w:type="paragraph" w:styleId="Gwka">
    <w:name w:val="Header"/>
    <w:basedOn w:val="Normal"/>
    <w:next w:val="Tretekstu"/>
    <w:link w:val="HeaderChar"/>
    <w:uiPriority w:val="99"/>
    <w:rsid w:val="006d71dc"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6d71dc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f29a7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99"/>
    <w:qFormat/>
    <w:rsid w:val="00ef29a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2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Application>LibreOffice/6.1.1.2$MacOSX_X86_64 LibreOffice_project/5d19a1bfa650b796764388cd8b33a5af1f5baa1b</Application>
  <Pages>1</Pages>
  <Words>250</Words>
  <Characters>1683</Characters>
  <CharactersWithSpaces>1879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2017-12-20T20:08:00Z</dcterms:created>
  <dc:creator>Użytkownik Microsoft Office</dc:creator>
  <dc:description/>
  <dc:language>pl-PL</dc:language>
  <cp:lastModifiedBy>Marcin Ślęczka</cp:lastModifiedBy>
  <dcterms:modified xsi:type="dcterms:W3CDTF">2020-06-10T11:10:15Z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